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44 vom 28. Januar 2013</w:t>
      </w:r>
    </w:p>
    <w:p>
      <w:r>
        <w:t>GR Gerichte, 2013-01-28, DE</w:t>
      </w:r>
    </w:p>
    <w:p>
      <w:r>
        <w:rPr>
          <w:b/>
        </w:rPr>
        <w:t xml:space="preserve">Quelle: </w:t>
      </w:r>
      <w:r>
        <w:t>https://mcp.opencaselaw.ch/entscheid/gr_gerichte_SK1 2012 44</w:t>
      </w:r>
    </w:p>
    <w:p>
      <w:r>
        <w:t>FR: GR_GERICHTE SK1 2012 44 du 28 janvier 2013</w:t>
      </w:r>
    </w:p>
    <w:p>
      <w:r>
        <w:t>IT: GR_GERICHTE SK1 2012 44 del 28 gennaio 2013</w:t>
      </w:r>
    </w:p>
    <w:p>
      <w:pPr>
        <w:pStyle w:val="Heading2"/>
      </w:pPr>
      <w:r>
        <w:t>Regeste</w:t>
      </w:r>
    </w:p>
    <w:p>
      <w:r>
        <w:t>Hausfriedensbruch, geringe Sachbeschädigung etc. | StGB 180-186 Freiheit</w:t>
      </w:r>
    </w:p>
    <w:p>
      <w:pPr>
        <w:pStyle w:val="Heading2"/>
      </w:pPr>
      <w:r>
        <w:t>Erwägungen</w:t>
      </w:r>
    </w:p>
    <w:p>
      <w:r>
        <w:rPr>
          <w:b/>
        </w:rPr>
        <w:t>E. 3</w:t>
      </w:r>
    </w:p>
    <w:p>
      <w:r>
        <w:t>X. sei zu bestrafen mit einer Busse von Fr. 700.--. Bei schuldhafter Nichtbezahlung trete an Stelle der Busse eine Ersatzfreiheitsstrafe von</w:t>
      </w:r>
    </w:p>
    <w:p>
      <w:r>
        <w:rPr>
          <w:b/>
        </w:rPr>
        <w:t>E. 5</w:t>
      </w:r>
    </w:p>
    <w:p>
      <w:r>
        <w:t>(Kostenzusammenzug)</w:t>
      </w:r>
    </w:p>
    <w:p>
      <w:r>
        <w:rPr>
          <w:b/>
        </w:rPr>
        <w:t>E. 6</w:t>
      </w:r>
    </w:p>
    <w:p>
      <w:r>
        <w:t>Vom Berufungskläger wird vorgetragen, dass ein Zivilverfahren bezüglich der Abklärung der Eigentumsrechte an der Wohnung im Gange sei. Aus diesem Einwand kann der Berufungskläger nichts zu seinen Gunsten ableiten. Für das vorliegende Strafverfahren ist es nämlich nicht relevant, ob er nach seiner Auffas-</w:t>
      </w:r>
    </w:p>
    <w:p>
      <w:r>
        <w:t>Seite 11 — 15 sung allenfalls Miteigentümer der im Eigentum von Y. stehenden Wohnung sein sollte, sondern entscheidend ist einzig, dass er gemäss der Verfügung des Einzel- richters in Zivilsachen am Kantonsgericht von Graubünden vom 28. April 2010 aktuell kein Nutzungsrecht an der Wohnung hatte und hat und er gegen die klar abgefasste Verfügung verstossen hat. Ob sein im Zivilverfahren geltend gemach- ter Standpunkt zutreffen könnte oder nicht, ist im vorliegenden Strafverfahren selbstredend nicht zu beurteilen. Entscheidend ist einzig, dass dem Berufungsklä- ger klar und unmissverständlich befohlen wurde, die Wohnung zu räumen und dass er sich trotz des Verbotes, die Wohnung zu betreten, Zutritt zu derselben verschaffte. In diesem Zusammenhang ist auch völlig irrelevant, dass der Beru- fungskläger früher in der Wohnung gewohnt hat und dass - wie die Vorinstanz zu- treffend erwogen hat - die Schlüssel beim Bezirksgericht Prättigau/Davos hinter- legt waren.</w:t>
      </w:r>
    </w:p>
    <w:p>
      <w:r>
        <w:rPr>
          <w:b/>
        </w:rPr>
        <w:t>E. 7</w:t>
      </w:r>
    </w:p>
    <w:p>
      <w:r>
        <w:t>a) In seiner Berufungsbegründung macht der Berufungskläger schliesslich geltend, dass eine Sachbeschädigung gemäss Art. 144 Abs. 1 StGB nicht vorlie- ge, da das Auswechseln eines Schlosses keine Sachbeschädigung darstelle, weil keine Funktionsbeeinträchtigung der Türe bestehe. b) Unbestritten ist, dass der Berufungskläger am 5. Januar 2011 die Woh- nungstüre durch einen Schreiner gewaltsam öffnen und den Schlosszylinder aus- wechseln liess. Es mag durchaus zutreffen, dass die Türe durch diese Handlung noch funktionsfähig war. Der Berufungskläger verkennt jedoch, dass durch das Auswechseln des Schlosses eine Funktionsbeeinträchtigung desselben stattge- funden hat. Eine ausreichende Funktionsbeeinträchtigung ist nämlich insbesonde- re gegeben, wenn der früherer Zustand nicht wiederhergestellt werden kann oder für den jeweiligen Betroffenen einen nicht bloss geringfügigen Aufwand an Zeit, Arbeit oder Kosten erfordert (Philippe Weissenberger, in: Niggli/Wiprächtiger [Hrsg.], Basler Kommentar zum Strafrecht II, 2. Aufl., Basel 2007, N 27 zu Art. 144 StGB). Im vorliegenden Fall war der frühere Zustand derjenige, dass Y. mit ihrem eigenen Schlüssel das Türschloss aufschliessen konnte. Dieser Zustand kann nur wiederhergestellt werden, wenn das vom Berufungskläger durch einen Schreiner ausgewechselte Schloss durch Y. wieder ausgewechselt wird, damit sie mit ihrem eigenen Schlüssel die Türe wieder auf- bzw. zuschliessen kann. Dass dies mit einem nicht bloss geringfügigen Aufwand an Arbeit und Kosten verbunden ist, zeigt alleine schon die Tatsache, dass der Berufungskläger einen Schreiner für den Austausch des Schlosszylinders heranziehen musste. Im Einklang mit den Feststellungen der Vorinstanz (vgl. E. 7, Art. 82 Abs. 4 StPO), dass die Kosten für die Wiederherstellung des früheren Zustandes rund Fr. 100.-- betragen können, ist</w:t>
      </w:r>
    </w:p>
    <w:p>
      <w:r>
        <w:t>Seite 12 — 15 der Berufungskläger gemäss Art. 144 Abs. 1 StGB i.V.m. Art. 172ter Abs. 1 StGB für eine geringfügige Sachbeschädigung lediglich mit Busse zu bestrafen.</w:t>
      </w:r>
    </w:p>
    <w:p>
      <w:r>
        <w:rPr>
          <w:b/>
        </w:rPr>
        <w:t>E. 8</w:t>
      </w:r>
    </w:p>
    <w:p>
      <w:r>
        <w:t>a) Die Vorinstanz geht bei ihrer Strafzumessung davon aus, dass der Beru- fungskläger durch seine Handlungen die Voraussetzungen gemäss Art. 49 Abs. 1 StGB für mehrere gleichartige Strafen erfüllt und das Gericht ihn deshalb zu der Strafe der schwersten Straftat zu verurteile habe und diese Strafe angemessen zu erhöhen sei. Sie kommt zum Schluss, dass der Berufungskläger für den Hausfrie- densbruch gemäss Art. 186 StGB - mangels Angaben zu seinem Einkommen und im Einklang mit der Annahme der Staatsanwaltschaft, dass sich seine jährlichen Einkünfte auf Fr. 60‘000.-- beliefen - mit einer bedingten Geldstrafe von 20 Tages- sätzen zu je Fr. 160.-- bei einer Probezeit von zwei Jahren zu bestrafen sei. Gemäss Art. 42 Abs. 4 StGB könne eine bedingte Geldstrafe mit einer unbeding- ten Geldstrafe oder mit einer Busse nach Art. 106 StGB verbunden werden, was in casu dazu führe, dass eine Busse in der Höhe von Fr. 700.-- ausgesprochen wer- de. Die vom Berufungskläger begangene geringfügige Sachbeschädigung gemäss Art. 144 Abs. 1 StGB i.V.m. Art. 172ter Abs. 1 StGB sowie sein Ungehorsam ge- gen eine amtliche Verfügung gemäss Art. 292 StGB seien in der Busse mitberück- sichtigt bzw. enthalten. b) Das Vorgehen der Vorinstanz ist - was die Begründung betrifft - nicht ganz korrekt. Bei den Tatbeständen der Art. 186 StGB, Art. 144 Abs. 1 StGB i.V.m. Art. 172ter Abs. 1 StGB und Art. 292 StGB handelt es sich nicht um gleichartige Stra- fen und demnach darf Art. 49 Abs. 1 StGB so nicht angewendet werden. Nach bundesgerichtlicher Rechtsprechung zu Art. 49 Abs. 1 StGB sind ungleichartige Strafen kumulativ zu verhängen, weil das Asperationsprinzip nur greift, wenn meh- rere gleichartige Strafen ausgesprochen werden. Die Bildung einer Gesamtstrafe ist bei ungleichartigen Strafen nicht möglich (BGE 137 IV 57, BGE 138 IV 120). Demnach hätte die Vorinstanz für den Hausfriedensbruch gemäss Art. 186 StGB, welcher ein Vergehen darstellt, eine eigenständige Strafe ausfällen müssen. Ebenfalls hätte sie für die geringfügige Sachbeschädigung gemäss Art. 144 Abs. 1 StGB i.V.m. Art. 172ter Abs. 1 StGB und für seinen Ungehorsam gegen eine amt- liche Verfügung gemäss Art. 292 StGB eine eigenständige Strafe ausfällen müs- sen, wobei hier die Anwendung von Art. 49 Abs. 1 StGB zulässig gewesen wäre, da beide Tatbestände Übertretungen darstellen. Die Vorinstanz stützt sich bei der Berechnung der Höhe des Tagessatzes auf die Angaben der Staatsanwaltschaft. Weil der Berufungskläger bei der Staatsanwaltschaft keine Angaben zu seinem Einkommen machte, schätzte diese sein jährliches Einkommen auf Fr. 60‘000.--. Dieses Vorgehen ist zulässig, denn soweit der Täter keine oder unglaubhafte Aus-</w:t>
      </w:r>
    </w:p>
    <w:p>
      <w:r>
        <w:t>Seite 13 — 15 sagen zu seinen Einkommensverhältnissen macht und die behördlichen Auskünfte dazu (Art. 34 Abs. 3 StGB) unergiebig sind, ist auf ein hypothetisches Einkommen abzustellen, das sich am (geschätzten) Lebensaufwand orientiert (BGE 6B_366/2007 vom 17. März 2008 E. 6.1 und 6.3 mit Hinweisen, BGE 6B_476/2007 vom 29. März 2008 E. 3.4). Der Berufungskläger bezieht gemäss eigener Aussage bei der Einvernahme anlässlich der Hauptverhandlung vom 12. Juli 2012 vor dem Bezirksgericht Prättigau/Davos eine Rente von monatlich € 1‘150.--. Die Vorinstanz ging bei dieser Angabe davon aus, dass damit nicht sein ganzes Einkommen inklusive Vermögensertrag gemeint sein könne und dass er als Arzt und Wissenschaftler nicht nur über genügend Einkommen, sondern auch über Vermögen verfüge, ansonsten sich ein Hauptwohnsitz in C. und ein Neben- wohnsitz in B. nicht unterhalten liesse. Deshalb stützte sich die Vorinstanz bei der Berechnung des Tagessatzes auf die Schätzung der Staatsanwaltschaft, welche mangels Auskünften gemäss oben zitierter Rechtsprechung nicht zu beanstanden ist und in dieser Höhe (Tagessatz von Fr. 160.--) angemessen erscheint. Die Höhe des Tagessatzes wurde denn vom Berufungskläger auch nicht kritisiert. Selbst wenn die Berufungsinstanz die Strafen mit einer etwas anderen Begründung ku- mulativ verhängt, so ist die von der Vorinstanz ausgefällte Geldstrafe von 20 Ta- gessätzen zu je Fr. 160.-- für den Hausfriedensbruch nicht zu beanstanden. Gemäss konstanter Praxis greift die Berufungsinstanz nicht in die Strafzumessung der Vorinstanz ein, wenn diese nach pflichtgemässem Ermessen eine angemes- sene Strafe verhängt hat. Für die Übertretungen nach Art. 144 Abs. 1 StGB i.V.m. Art. 172ter Abs. 1 StGB und Art. 292 StGB ist die von der Vorinstanz ausgespro- chene Busse in der Höhe von Fr. 700.-- angemessen. Dieser Betrag wird vom Be- rufungskläger ebenfalls nicht beanstandet. c) Insgesamt kann somit gesagt werden, dass die Vorinstanz trotz etwas irre- führender Rechtsanwendung letztlich den Berufungskläger korrekt bestraft hat, nämlich mit einer Geldstrafe und einer Busse, womit auf eine Abänderung des Dispositivs der Vorinstanz verzichtet werden kann.</w:t>
      </w:r>
    </w:p>
    <w:p>
      <w:r>
        <w:rPr>
          <w:b/>
        </w:rPr>
        <w:t>E. 9</w:t>
      </w:r>
    </w:p>
    <w:p>
      <w:r>
        <w:t>Im Ergebnis steht demzufolge fest, dass das angefochtene Urteil des Bezirks- gerichts Prättigau/Davos sowohl in Bezug auf den Schuldspruch als auch hinsicht- lich der Strafzumessung zu bestätigen ist. Die Berufung des Berufungsklägers erweist sich mithin als unbegründet. Damit ist auch die vorinstanzliche Kostenre- gelung zu bestätigen.</w:t>
      </w:r>
    </w:p>
    <w:p>
      <w:r>
        <w:rPr>
          <w:b/>
        </w:rPr>
        <w:t>E. 10</w:t>
      </w:r>
    </w:p>
    <w:p>
      <w:r>
        <w:t>Gemäss Art. 428 Abs. 1 StPO tragen die Parteien die Kosten des Rechts- mittelverfahrens nach Massgabe ihres Obsiegens oder Unterliegens. Vorliegend</w:t>
      </w:r>
    </w:p>
    <w:p>
      <w:r>
        <w:t>Seite 14 — 15 ist der Berufungskläger mit seinen Anträgen nicht durchgedrungen und die Beru- fung wurde im Sinne der Erwägungen vollumfänglich abgewiesen. Demnach ge- 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 fahrens werden auf Fr. 2'500.-- festgelegt.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